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81" w:rsidRDefault="00E251B3" w:rsidP="00DF654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181881">
        <w:rPr>
          <w:rFonts w:cstheme="minorHAnsi"/>
          <w:b/>
          <w:sz w:val="32"/>
          <w:szCs w:val="32"/>
        </w:rPr>
        <w:t xml:space="preserve">Thesis Statement: </w:t>
      </w:r>
    </w:p>
    <w:p w:rsidR="00E251B3" w:rsidRPr="00181881" w:rsidRDefault="0055412B" w:rsidP="00DF654E">
      <w:pPr>
        <w:spacing w:after="0" w:line="240" w:lineRule="auto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In 2007, t</w:t>
      </w:r>
      <w:r w:rsidR="006D733F">
        <w:rPr>
          <w:rFonts w:cstheme="minorHAnsi"/>
          <w:sz w:val="32"/>
          <w:szCs w:val="32"/>
        </w:rPr>
        <w:t xml:space="preserve">here </w:t>
      </w:r>
      <w:r>
        <w:rPr>
          <w:rFonts w:cstheme="minorHAnsi"/>
          <w:sz w:val="32"/>
          <w:szCs w:val="32"/>
        </w:rPr>
        <w:t>was</w:t>
      </w:r>
      <w:r w:rsidR="006D733F">
        <w:rPr>
          <w:rFonts w:cstheme="minorHAnsi"/>
          <w:sz w:val="32"/>
          <w:szCs w:val="32"/>
        </w:rPr>
        <w:t xml:space="preserve"> great debate among teenagers, parents, school officials, and lawmakers as to whether or not</w:t>
      </w:r>
      <w:r w:rsidR="00E251B3" w:rsidRPr="00181881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King Middle School</w:t>
      </w:r>
      <w:r w:rsidR="00E251B3" w:rsidRPr="00181881">
        <w:rPr>
          <w:rFonts w:cstheme="minorHAnsi"/>
          <w:sz w:val="32"/>
          <w:szCs w:val="32"/>
        </w:rPr>
        <w:t xml:space="preserve"> should distribute contraceptives to interested </w:t>
      </w:r>
      <w:r>
        <w:rPr>
          <w:rFonts w:cstheme="minorHAnsi"/>
          <w:sz w:val="32"/>
          <w:szCs w:val="32"/>
        </w:rPr>
        <w:t>students</w:t>
      </w:r>
      <w:r w:rsidR="00E251B3" w:rsidRPr="00181881">
        <w:rPr>
          <w:rFonts w:cstheme="minorHAnsi"/>
          <w:sz w:val="32"/>
          <w:szCs w:val="32"/>
        </w:rPr>
        <w:t xml:space="preserve"> without parental permission.</w:t>
      </w:r>
    </w:p>
    <w:p w:rsidR="00E251B3" w:rsidRPr="00181881" w:rsidRDefault="00E251B3" w:rsidP="00DF654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E251B3" w:rsidRPr="00181881" w:rsidRDefault="00E251B3" w:rsidP="00DF654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E251B3" w:rsidRPr="0055412B" w:rsidRDefault="00181881" w:rsidP="00DF654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55412B">
        <w:rPr>
          <w:rFonts w:cstheme="minorHAnsi"/>
          <w:b/>
          <w:sz w:val="32"/>
          <w:szCs w:val="32"/>
        </w:rPr>
        <w:t>An</w:t>
      </w:r>
      <w:r w:rsidR="00E251B3" w:rsidRPr="0055412B">
        <w:rPr>
          <w:rFonts w:cstheme="minorHAnsi"/>
          <w:b/>
          <w:sz w:val="32"/>
          <w:szCs w:val="32"/>
        </w:rPr>
        <w:t xml:space="preserve"> Annotated Bibliography Entry in </w:t>
      </w:r>
      <w:r w:rsidR="0055412B" w:rsidRPr="0055412B">
        <w:rPr>
          <w:rFonts w:cstheme="minorHAnsi"/>
          <w:b/>
          <w:sz w:val="32"/>
          <w:szCs w:val="32"/>
        </w:rPr>
        <w:t>APA</w:t>
      </w:r>
      <w:r w:rsidR="00E251B3" w:rsidRPr="0055412B">
        <w:rPr>
          <w:rFonts w:cstheme="minorHAnsi"/>
          <w:b/>
          <w:sz w:val="32"/>
          <w:szCs w:val="32"/>
        </w:rPr>
        <w:t xml:space="preserve"> Format</w:t>
      </w:r>
    </w:p>
    <w:p w:rsidR="00E251B3" w:rsidRPr="0055412B" w:rsidRDefault="00E251B3" w:rsidP="00DF654E">
      <w:pPr>
        <w:spacing w:after="0" w:line="240" w:lineRule="auto"/>
        <w:rPr>
          <w:rFonts w:cstheme="minorHAnsi"/>
          <w:sz w:val="32"/>
          <w:szCs w:val="32"/>
        </w:rPr>
      </w:pPr>
    </w:p>
    <w:p w:rsidR="0055412B" w:rsidRPr="0055412B" w:rsidRDefault="0055412B" w:rsidP="0055412B">
      <w:pPr>
        <w:shd w:val="clear" w:color="auto" w:fill="FFFFFF"/>
        <w:spacing w:line="480" w:lineRule="atLeast"/>
        <w:ind w:left="360" w:hanging="360"/>
        <w:rPr>
          <w:rFonts w:eastAsia="Times New Roman" w:cstheme="minorHAnsi"/>
          <w:color w:val="000000"/>
          <w:sz w:val="32"/>
          <w:szCs w:val="32"/>
          <w:lang w:val="en"/>
        </w:rPr>
      </w:pPr>
      <w:proofErr w:type="gramStart"/>
      <w:r w:rsidRPr="0055412B">
        <w:rPr>
          <w:rFonts w:eastAsia="Times New Roman" w:cstheme="minorHAnsi"/>
          <w:color w:val="000000"/>
          <w:sz w:val="32"/>
          <w:szCs w:val="32"/>
          <w:lang w:val="en"/>
        </w:rPr>
        <w:t>Center for Reproductive Rights.</w:t>
      </w:r>
      <w:proofErr w:type="gramEnd"/>
      <w:r w:rsidRPr="0055412B">
        <w:rPr>
          <w:rFonts w:eastAsia="Times New Roman" w:cstheme="minorHAnsi"/>
          <w:color w:val="000000"/>
          <w:sz w:val="32"/>
          <w:szCs w:val="32"/>
          <w:lang w:val="en"/>
        </w:rPr>
        <w:t xml:space="preserve"> (2011). Contraceptives should be available to teens without parental consent. </w:t>
      </w:r>
      <w:proofErr w:type="gramStart"/>
      <w:r w:rsidRPr="0055412B">
        <w:rPr>
          <w:rFonts w:eastAsia="Times New Roman" w:cstheme="minorHAnsi"/>
          <w:color w:val="000000"/>
          <w:sz w:val="32"/>
          <w:szCs w:val="32"/>
          <w:lang w:val="en"/>
        </w:rPr>
        <w:t xml:space="preserve">In </w:t>
      </w:r>
      <w:r w:rsidRPr="0055412B">
        <w:rPr>
          <w:rFonts w:eastAsia="Times New Roman" w:cstheme="minorHAnsi"/>
          <w:i/>
          <w:iCs/>
          <w:color w:val="000000"/>
          <w:sz w:val="32"/>
          <w:szCs w:val="32"/>
          <w:lang w:val="en"/>
        </w:rPr>
        <w:t>Teens and Privacy</w:t>
      </w:r>
      <w:r w:rsidRPr="0055412B">
        <w:rPr>
          <w:rFonts w:eastAsia="Times New Roman" w:cstheme="minorHAnsi"/>
          <w:color w:val="000000"/>
          <w:sz w:val="32"/>
          <w:szCs w:val="32"/>
          <w:lang w:val="en"/>
        </w:rPr>
        <w:t>.</w:t>
      </w:r>
      <w:proofErr w:type="gramEnd"/>
      <w:r w:rsidRPr="0055412B">
        <w:rPr>
          <w:rFonts w:eastAsia="Times New Roman" w:cstheme="minorHAnsi"/>
          <w:color w:val="000000"/>
          <w:sz w:val="32"/>
          <w:szCs w:val="32"/>
          <w:lang w:val="en"/>
        </w:rPr>
        <w:t xml:space="preserve"> Detroit, MI: </w:t>
      </w:r>
      <w:proofErr w:type="spellStart"/>
      <w:r w:rsidRPr="0055412B">
        <w:rPr>
          <w:rFonts w:eastAsia="Times New Roman" w:cstheme="minorHAnsi"/>
          <w:color w:val="000000"/>
          <w:sz w:val="32"/>
          <w:szCs w:val="32"/>
          <w:lang w:val="en"/>
        </w:rPr>
        <w:t>Greenhaven</w:t>
      </w:r>
      <w:proofErr w:type="spellEnd"/>
      <w:r w:rsidRPr="0055412B">
        <w:rPr>
          <w:rFonts w:eastAsia="Times New Roman" w:cstheme="minorHAnsi"/>
          <w:color w:val="000000"/>
          <w:sz w:val="32"/>
          <w:szCs w:val="32"/>
          <w:lang w:val="en"/>
        </w:rPr>
        <w:t xml:space="preserve"> Press. Retrieved from http://ic.galegroup.com/ic/ovic</w:t>
      </w:r>
    </w:p>
    <w:p w:rsidR="00E251B3" w:rsidRPr="0055412B" w:rsidRDefault="00E251B3" w:rsidP="00DF654E">
      <w:pPr>
        <w:shd w:val="clear" w:color="auto" w:fill="FFFFFF"/>
        <w:spacing w:line="240" w:lineRule="auto"/>
        <w:ind w:firstLine="360"/>
        <w:rPr>
          <w:rFonts w:eastAsia="Times New Roman" w:cstheme="minorHAnsi"/>
          <w:color w:val="00B050"/>
          <w:sz w:val="32"/>
          <w:szCs w:val="32"/>
          <w:lang w:val="en"/>
        </w:rPr>
      </w:pPr>
      <w:r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This article </w:t>
      </w:r>
      <w:r w:rsidR="009B52CA" w:rsidRPr="0055412B">
        <w:rPr>
          <w:rFonts w:eastAsia="Times New Roman" w:cstheme="minorHAnsi"/>
          <w:color w:val="FF0000"/>
          <w:sz w:val="32"/>
          <w:szCs w:val="32"/>
          <w:lang w:val="en"/>
        </w:rPr>
        <w:t>summarizes</w:t>
      </w:r>
      <w:r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 current proposals </w:t>
      </w:r>
      <w:r w:rsidR="009B52CA" w:rsidRPr="0055412B">
        <w:rPr>
          <w:rFonts w:eastAsia="Times New Roman" w:cstheme="minorHAnsi"/>
          <w:color w:val="FF0000"/>
          <w:sz w:val="32"/>
          <w:szCs w:val="32"/>
          <w:lang w:val="en"/>
        </w:rPr>
        <w:t>that would require</w:t>
      </w:r>
      <w:r w:rsidR="00DF654E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 teenagers to notify </w:t>
      </w:r>
      <w:r w:rsidR="009B52CA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their parents </w:t>
      </w:r>
      <w:r w:rsidR="00DF654E" w:rsidRPr="0055412B">
        <w:rPr>
          <w:rFonts w:eastAsia="Times New Roman" w:cstheme="minorHAnsi"/>
          <w:color w:val="FF0000"/>
          <w:sz w:val="32"/>
          <w:szCs w:val="32"/>
          <w:lang w:val="en"/>
        </w:rPr>
        <w:t>or secure parental consent before seeking contraception from clinics, purchasing contraception from stores, and</w:t>
      </w:r>
      <w:r w:rsidR="009B52CA" w:rsidRPr="0055412B">
        <w:rPr>
          <w:rFonts w:eastAsia="Times New Roman" w:cstheme="minorHAnsi"/>
          <w:color w:val="FF0000"/>
          <w:sz w:val="32"/>
          <w:szCs w:val="32"/>
          <w:lang w:val="en"/>
        </w:rPr>
        <w:t>/or</w:t>
      </w:r>
      <w:r w:rsidR="00DF654E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 seeking emergency contraception because of forced or unplanned intercourse.  It also </w:t>
      </w:r>
      <w:r w:rsidR="009B52CA" w:rsidRPr="0055412B">
        <w:rPr>
          <w:rFonts w:eastAsia="Times New Roman" w:cstheme="minorHAnsi"/>
          <w:color w:val="FF0000"/>
          <w:sz w:val="32"/>
          <w:szCs w:val="32"/>
          <w:lang w:val="en"/>
        </w:rPr>
        <w:t>mentions</w:t>
      </w:r>
      <w:r w:rsidR="00DF654E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 two federal </w:t>
      </w:r>
      <w:r w:rsidR="009B52CA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family planning </w:t>
      </w:r>
      <w:r w:rsidR="00DF654E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programs </w:t>
      </w:r>
      <w:r w:rsidR="009B52CA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that </w:t>
      </w:r>
      <w:r w:rsidR="00DF654E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require confidentiality </w:t>
      </w:r>
      <w:r w:rsidR="009B52CA" w:rsidRPr="0055412B">
        <w:rPr>
          <w:rFonts w:eastAsia="Times New Roman" w:cstheme="minorHAnsi"/>
          <w:color w:val="FF0000"/>
          <w:sz w:val="32"/>
          <w:szCs w:val="32"/>
          <w:lang w:val="en"/>
        </w:rPr>
        <w:t xml:space="preserve">for adolescents.  Furthermore, the article addresses why teenagers need access to contraceptive services and how minors have a legal right to privacy.  </w:t>
      </w:r>
      <w:r w:rsidR="009B52CA" w:rsidRPr="0055412B">
        <w:rPr>
          <w:rFonts w:eastAsia="Times New Roman" w:cstheme="minorHAnsi"/>
          <w:color w:val="0070C0"/>
          <w:sz w:val="32"/>
          <w:szCs w:val="32"/>
          <w:lang w:val="en"/>
        </w:rPr>
        <w:t xml:space="preserve">As indicated by the title, it is clear that this article is biased in nature; the point is to persuade readers that </w:t>
      </w:r>
      <w:r w:rsidR="008F34C9" w:rsidRPr="0055412B">
        <w:rPr>
          <w:rFonts w:eastAsia="Times New Roman" w:cstheme="minorHAnsi"/>
          <w:color w:val="0070C0"/>
          <w:sz w:val="32"/>
          <w:szCs w:val="32"/>
          <w:lang w:val="en"/>
        </w:rPr>
        <w:t xml:space="preserve">teens should not need parental consent in order to secure contraception.  </w:t>
      </w:r>
      <w:r w:rsidR="0017045E" w:rsidRPr="0055412B">
        <w:rPr>
          <w:rFonts w:eastAsia="Times New Roman" w:cstheme="minorHAnsi"/>
          <w:color w:val="0070C0"/>
          <w:sz w:val="32"/>
          <w:szCs w:val="32"/>
          <w:lang w:val="en"/>
        </w:rPr>
        <w:t xml:space="preserve">However, the inclusion of Supreme Court cases, the inclusion of statistics, and the reference to specific federal programs lend weight to the presented argument.  </w:t>
      </w:r>
      <w:r w:rsidR="0055412B">
        <w:rPr>
          <w:rFonts w:eastAsia="Times New Roman" w:cstheme="minorHAnsi"/>
          <w:color w:val="00B050"/>
          <w:sz w:val="32"/>
          <w:szCs w:val="32"/>
          <w:lang w:val="en"/>
        </w:rPr>
        <w:t>T</w:t>
      </w:r>
      <w:r w:rsidR="0017045E" w:rsidRPr="0055412B">
        <w:rPr>
          <w:rFonts w:eastAsia="Times New Roman" w:cstheme="minorHAnsi"/>
          <w:color w:val="00B050"/>
          <w:sz w:val="32"/>
          <w:szCs w:val="32"/>
          <w:lang w:val="en"/>
        </w:rPr>
        <w:t xml:space="preserve">his source does not directly address the concept of schools distributing contraceptives, </w:t>
      </w:r>
      <w:r w:rsidR="0055412B">
        <w:rPr>
          <w:rFonts w:eastAsia="Times New Roman" w:cstheme="minorHAnsi"/>
          <w:color w:val="00B050"/>
          <w:sz w:val="32"/>
          <w:szCs w:val="32"/>
          <w:lang w:val="en"/>
        </w:rPr>
        <w:t xml:space="preserve">nor does it specifically discuss the King Middle School situation.  However, </w:t>
      </w:r>
      <w:r w:rsidR="0017045E" w:rsidRPr="0055412B">
        <w:rPr>
          <w:rFonts w:eastAsia="Times New Roman" w:cstheme="minorHAnsi"/>
          <w:color w:val="00B050"/>
          <w:sz w:val="32"/>
          <w:szCs w:val="32"/>
          <w:lang w:val="en"/>
        </w:rPr>
        <w:t xml:space="preserve">I can use many of the points </w:t>
      </w:r>
      <w:r w:rsidR="0055412B">
        <w:rPr>
          <w:rFonts w:eastAsia="Times New Roman" w:cstheme="minorHAnsi"/>
          <w:color w:val="00B050"/>
          <w:sz w:val="32"/>
          <w:szCs w:val="32"/>
          <w:lang w:val="en"/>
        </w:rPr>
        <w:t xml:space="preserve">(such as the federal programs and Supreme Court cases) </w:t>
      </w:r>
      <w:r w:rsidR="0017045E" w:rsidRPr="0055412B">
        <w:rPr>
          <w:rFonts w:eastAsia="Times New Roman" w:cstheme="minorHAnsi"/>
          <w:color w:val="00B050"/>
          <w:sz w:val="32"/>
          <w:szCs w:val="32"/>
          <w:lang w:val="en"/>
        </w:rPr>
        <w:t xml:space="preserve">and statistics that are included when I discuss the </w:t>
      </w:r>
      <w:r w:rsidR="0055412B">
        <w:rPr>
          <w:rFonts w:eastAsia="Times New Roman" w:cstheme="minorHAnsi"/>
          <w:color w:val="00B050"/>
          <w:sz w:val="32"/>
          <w:szCs w:val="32"/>
          <w:lang w:val="en"/>
        </w:rPr>
        <w:t>perspectives of those in support of the prescription birth control distribution</w:t>
      </w:r>
      <w:r w:rsidR="0017045E" w:rsidRPr="0055412B">
        <w:rPr>
          <w:rFonts w:eastAsia="Times New Roman" w:cstheme="minorHAnsi"/>
          <w:color w:val="00B050"/>
          <w:sz w:val="32"/>
          <w:szCs w:val="32"/>
          <w:lang w:val="en"/>
        </w:rPr>
        <w:t xml:space="preserve">. </w:t>
      </w:r>
      <w:bookmarkStart w:id="0" w:name="_GoBack"/>
      <w:bookmarkEnd w:id="0"/>
    </w:p>
    <w:sectPr w:rsidR="00E251B3" w:rsidRPr="0055412B" w:rsidSect="00E251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B3"/>
    <w:rsid w:val="0017045E"/>
    <w:rsid w:val="00181881"/>
    <w:rsid w:val="0055412B"/>
    <w:rsid w:val="006D733F"/>
    <w:rsid w:val="008F34C9"/>
    <w:rsid w:val="009B52CA"/>
    <w:rsid w:val="00B43FB0"/>
    <w:rsid w:val="00DF654E"/>
    <w:rsid w:val="00E2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13724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711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194788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07547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51096">
      <w:bodyDiv w:val="1"/>
      <w:marLeft w:val="0"/>
      <w:marRight w:val="0"/>
      <w:marTop w:val="0"/>
      <w:marBottom w:val="0"/>
      <w:divBdr>
        <w:top w:val="single" w:sz="36" w:space="0" w:color="330066"/>
        <w:left w:val="none" w:sz="0" w:space="0" w:color="auto"/>
        <w:bottom w:val="none" w:sz="0" w:space="0" w:color="auto"/>
        <w:right w:val="none" w:sz="0" w:space="0" w:color="auto"/>
      </w:divBdr>
      <w:divsChild>
        <w:div w:id="1624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1048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813111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dotted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82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227743">
      <w:bodyDiv w:val="1"/>
      <w:marLeft w:val="0"/>
      <w:marRight w:val="0"/>
      <w:marTop w:val="0"/>
      <w:marBottom w:val="0"/>
      <w:divBdr>
        <w:top w:val="single" w:sz="36" w:space="0" w:color="330066"/>
        <w:left w:val="none" w:sz="0" w:space="0" w:color="auto"/>
        <w:bottom w:val="none" w:sz="0" w:space="0" w:color="auto"/>
        <w:right w:val="none" w:sz="0" w:space="0" w:color="auto"/>
      </w:divBdr>
      <w:divsChild>
        <w:div w:id="150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3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5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7508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953620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dotted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64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984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490243">
      <w:bodyDiv w:val="1"/>
      <w:marLeft w:val="0"/>
      <w:marRight w:val="0"/>
      <w:marTop w:val="0"/>
      <w:marBottom w:val="0"/>
      <w:divBdr>
        <w:top w:val="single" w:sz="36" w:space="0" w:color="330066"/>
        <w:left w:val="none" w:sz="0" w:space="0" w:color="auto"/>
        <w:bottom w:val="none" w:sz="0" w:space="0" w:color="auto"/>
        <w:right w:val="none" w:sz="0" w:space="0" w:color="auto"/>
      </w:divBdr>
      <w:divsChild>
        <w:div w:id="12182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4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7856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63339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dotted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8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59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2012-04-26T14:44:00Z</dcterms:created>
  <dcterms:modified xsi:type="dcterms:W3CDTF">2012-04-26T14:44:00Z</dcterms:modified>
</cp:coreProperties>
</file>